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type w:val="continuous"/>
          <w:pgSz w:w="16840" w:h="11900" w:orient="landscape"/>
          <w:pgMar w:header="1130" w:top="2160" w:bottom="280" w:left="820" w:right="540"/>
          <w:pgNumType w:start="1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94624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2.247937pt;width:770pt;height:381.0pt;mso-position-horizontal-relative:page;mso-position-vertical-relative:paragraph;z-index:-15945728" filled="false" stroked="true" strokeweight="1pt" strokecolor="#000000">
            <v:stroke dashstyle="solid"/>
            <w10:wrap type="none"/>
          </v:rect>
        </w:pict>
      </w:r>
      <w:r>
        <w:rPr/>
        <w:t>241131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SECRETARIA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ESTADO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INCLUSAO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SOCIAL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-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SEIAS</w:t>
      </w:r>
    </w:p>
    <w:p>
      <w:pPr>
        <w:pStyle w:val="Heading1"/>
        <w:tabs>
          <w:tab w:pos="2467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13.309.050,00</w:t>
        <w:tab/>
        <w:t>-</w:t>
        <w:tab/>
        <w:t>13.309.050,00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2.193,19</w:t>
        <w:tab/>
        <w:t>32.251,34</w:t>
      </w:r>
    </w:p>
    <w:p>
      <w:pPr>
        <w:pStyle w:val="Heading1"/>
      </w:pPr>
      <w:r>
        <w:rPr>
          <w:b w:val="0"/>
        </w:rPr>
        <w:br w:type="column"/>
      </w:r>
      <w:r>
        <w:rPr/>
        <w:t>396.843,22</w:t>
      </w:r>
    </w:p>
    <w:p>
      <w:pPr>
        <w:spacing w:after="0"/>
        <w:sectPr>
          <w:type w:val="continuous"/>
          <w:pgSz w:w="16840" w:h="11900" w:orient="landscape"/>
          <w:pgMar w:top="2160" w:bottom="280" w:left="820" w:right="540"/>
          <w:cols w:num="5" w:equalWidth="0">
            <w:col w:w="541" w:space="439"/>
            <w:col w:w="4428" w:space="1325"/>
            <w:col w:w="4188" w:space="832"/>
            <w:col w:w="2027" w:space="879"/>
            <w:col w:w="821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1.3.1.1.01.11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1.7.1.9.57.00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1.7.1.9.57.01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1.9.2.2.06.41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1.9.9.0.00.00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2.0.0.0.00.00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2.4.1.0.00.00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3190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</w:t>
      </w:r>
      <w:r>
        <w:rPr>
          <w:spacing w:val="-5"/>
        </w:rPr>
        <w:t> </w:t>
      </w:r>
      <w:r>
        <w:rPr/>
        <w:t>PATRIMONIAL</w:t>
      </w:r>
    </w:p>
    <w:p>
      <w:pPr>
        <w:pStyle w:val="BodyText"/>
        <w:spacing w:line="451" w:lineRule="auto" w:before="1"/>
        <w:ind w:left="100" w:right="1227"/>
      </w:pPr>
      <w:r>
        <w:rPr/>
        <w:t>EXPLORACAO DO PATRIMONIO IMOBILIARIO DO ESTADO</w:t>
      </w:r>
      <w:r>
        <w:rPr>
          <w:spacing w:val="-31"/>
        </w:rPr>
        <w:t> </w:t>
      </w:r>
      <w:r>
        <w:rPr/>
        <w:t>EXPLORACAO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IMOBILIARIO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line="451" w:lineRule="auto" w:before="2"/>
        <w:ind w:left="100" w:right="33"/>
      </w:pPr>
      <w:r>
        <w:rPr/>
        <w:t>ALUGUEIS, ARRENDAMENTOS, FOROS, LAUDEMIOS, TARIFAS DE OCUPACAO</w:t>
      </w:r>
      <w:r>
        <w:rPr>
          <w:spacing w:val="-32"/>
        </w:rPr>
        <w:t> </w:t>
      </w:r>
      <w:r>
        <w:rPr/>
        <w:t>ALUGUEIS E ARRENDAMENTOS - PRINCIPAL</w:t>
      </w:r>
    </w:p>
    <w:p>
      <w:pPr>
        <w:pStyle w:val="BodyText"/>
        <w:spacing w:before="1"/>
        <w:ind w:left="100"/>
      </w:pPr>
      <w:r>
        <w:rPr/>
        <w:t>VALORES MOBILIARIOS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597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1207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20"/>
      </w:pPr>
      <w:r>
        <w:rPr/>
        <w:t>OUTRAS TRANSFERENCIAS DE RECURSOS DA UNIAO E DE SUAS ENTIDADES</w:t>
      </w:r>
      <w:r>
        <w:rPr>
          <w:spacing w:val="-32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ESPECIAL DA</w:t>
      </w:r>
      <w:r>
        <w:rPr>
          <w:spacing w:val="-1"/>
        </w:rPr>
        <w:t> </w:t>
      </w:r>
      <w:r>
        <w:rPr/>
        <w:t>UNIAO</w:t>
      </w:r>
    </w:p>
    <w:p>
      <w:pPr>
        <w:pStyle w:val="BodyText"/>
        <w:spacing w:line="451" w:lineRule="auto" w:before="1"/>
        <w:ind w:left="100" w:right="1597"/>
      </w:pPr>
      <w:r>
        <w:rPr/>
        <w:t>TRANSFERENCIA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PRINCIPAL</w:t>
      </w:r>
      <w:r>
        <w:rPr>
          <w:spacing w:val="-31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1440"/>
      </w:pPr>
      <w:r>
        <w:rPr/>
        <w:t>INDENIZACOES, RESTITUICOES E RESSARCIMENTOS</w:t>
      </w:r>
      <w:r>
        <w:rPr>
          <w:spacing w:val="-32"/>
        </w:rPr>
        <w:t> </w:t>
      </w:r>
      <w:r>
        <w:rPr/>
        <w:t>RESTITUICOES</w:t>
      </w:r>
    </w:p>
    <w:p>
      <w:pPr>
        <w:pStyle w:val="BodyText"/>
        <w:spacing w:before="2"/>
        <w:ind w:left="100"/>
      </w:pPr>
      <w:r>
        <w:rPr/>
        <w:t>RESTITUICAO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EXERCICIOS</w:t>
      </w:r>
      <w:r>
        <w:rPr>
          <w:spacing w:val="-3"/>
        </w:rPr>
        <w:t> </w:t>
      </w:r>
      <w:r>
        <w:rPr/>
        <w:t>ANTERIORES</w:t>
      </w:r>
    </w:p>
    <w:p>
      <w:pPr>
        <w:pStyle w:val="BodyText"/>
        <w:spacing w:before="83"/>
        <w:ind w:left="100" w:right="180"/>
      </w:pPr>
      <w:r>
        <w:rPr/>
        <w:t>RESTITUICAO DE DESPESAS FINANCEIRAS DE EXERCICIOS ANTERIORES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2661"/>
      </w:pPr>
      <w:r>
        <w:rPr/>
        <w:t>DEMAIS RECEITAS CORRENTES</w:t>
      </w:r>
      <w:r>
        <w:rPr>
          <w:spacing w:val="1"/>
        </w:rPr>
        <w:t> </w:t>
      </w:r>
      <w:r>
        <w:rPr/>
        <w:t>OUTRAS</w:t>
      </w:r>
      <w:r>
        <w:rPr>
          <w:spacing w:val="-7"/>
        </w:rPr>
        <w:t> </w:t>
      </w:r>
      <w:r>
        <w:rPr/>
        <w:t>RECEITAS</w:t>
      </w:r>
      <w:r>
        <w:rPr>
          <w:spacing w:val="-7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67"/>
      </w:pPr>
      <w:r>
        <w:rPr/>
        <w:t>OUTRAS RECEITAS NAO ARRECADADAS E NAO PROJETADAS PELA RFB -</w:t>
      </w:r>
      <w:r>
        <w:rPr>
          <w:spacing w:val="-31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line="451" w:lineRule="auto" w:before="83"/>
        <w:ind w:left="100" w:right="2748"/>
      </w:pPr>
      <w:r>
        <w:rPr/>
        <w:t>RECEITAS DE CAPITAL</w:t>
      </w:r>
      <w:r>
        <w:rPr>
          <w:spacing w:val="1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41.665,00</w:t>
        <w:tab/>
        <w:t>-</w:t>
        <w:tab/>
        <w:t>41.665,00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32.251,34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20.696,13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20.696,13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20.696,13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20.696,13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2.193,19</w:t>
        <w:tab/>
        <w:t>20.696,13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11.555,21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926" w:val="left" w:leader="none"/>
        </w:tabs>
        <w:spacing w:before="1"/>
        <w:ind w:right="38"/>
        <w:jc w:val="right"/>
      </w:pPr>
      <w:r>
        <w:rPr/>
        <w:t>-</w:t>
        <w:tab/>
        <w:t>10.475,21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8"/>
        <w:jc w:val="right"/>
      </w:pPr>
      <w:r>
        <w:rPr/>
        <w:t>60.836,87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54.036,87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66" w:right="118" w:firstLine="493"/>
        <w:jc w:val="right"/>
      </w:pPr>
      <w:r>
        <w:rPr/>
        <w:t>-</w:t>
      </w:r>
      <w:r>
        <w:rPr>
          <w:spacing w:val="-31"/>
        </w:rPr>
        <w:t> </w:t>
      </w:r>
      <w:r>
        <w:rPr>
          <w:spacing w:val="-1"/>
        </w:rPr>
        <w:t>54.036,87</w:t>
      </w:r>
    </w:p>
    <w:p>
      <w:pPr>
        <w:pStyle w:val="BodyText"/>
        <w:spacing w:before="2"/>
        <w:ind w:right="118"/>
        <w:jc w:val="right"/>
      </w:pPr>
      <w:r>
        <w:rPr/>
        <w:t>54.036,87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54.036,87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54.036,87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233" w:right="118" w:firstLine="427"/>
        <w:jc w:val="right"/>
      </w:pPr>
      <w:r>
        <w:rPr/>
        <w:t>-</w:t>
      </w:r>
      <w:r>
        <w:rPr>
          <w:spacing w:val="-31"/>
        </w:rPr>
        <w:t> </w:t>
      </w:r>
      <w:r>
        <w:rPr>
          <w:spacing w:val="-1"/>
        </w:rPr>
        <w:t>6.800,00</w:t>
      </w: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6.800,00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spacing w:after="0"/>
        <w:jc w:val="right"/>
        <w:sectPr>
          <w:type w:val="continuous"/>
          <w:pgSz w:w="16840" w:h="11900" w:orient="landscape"/>
          <w:pgMar w:top="2160" w:bottom="280" w:left="820" w:right="540"/>
          <w:cols w:num="5" w:equalWidth="0">
            <w:col w:w="841" w:space="139"/>
            <w:col w:w="4688" w:space="1065"/>
            <w:col w:w="4188" w:space="832"/>
            <w:col w:w="2027" w:space="879"/>
            <w:col w:w="821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header="1130" w:footer="0" w:top="2160" w:bottom="280" w:left="820" w:right="540"/>
        </w:sectPr>
      </w:pPr>
    </w:p>
    <w:p>
      <w:pPr>
        <w:pStyle w:val="BodyText"/>
        <w:spacing w:before="96"/>
        <w:ind w:left="100"/>
      </w:pPr>
      <w:r>
        <w:rPr/>
        <w:pict>
          <v:rect style="position:absolute;margin-left:42.0pt;margin-top:2.247937pt;width:770pt;height:381.0pt;mso-position-horizontal-relative:page;mso-position-vertical-relative:paragraph;z-index:-159447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2.247937pt;width:770pt;height:381.0pt;mso-position-horizontal-relative:page;mso-position-vertical-relative:paragraph;z-index:-15944192" filled="false" stroked="true" strokeweight="1pt" strokecolor="#000000">
            <v:stroke dashstyle="solid"/>
            <w10:wrap type="none"/>
          </v:rect>
        </w:pict>
      </w:r>
      <w:r>
        <w:rPr/>
        <w:t>2.4.1.4.00.00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2.4.1.9.00.00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2.4.1.9.99.01</w:t>
      </w:r>
    </w:p>
    <w:p>
      <w:pPr>
        <w:pStyle w:val="BodyText"/>
        <w:spacing w:before="96"/>
        <w:ind w:left="100"/>
      </w:pPr>
      <w:r>
        <w:rPr/>
        <w:br w:type="column"/>
      </w: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1"/>
        </w:rPr>
        <w:t> </w:t>
      </w:r>
      <w:r>
        <w:rPr/>
        <w:t>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OUTRAS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20"/>
      </w:pPr>
      <w:r>
        <w:rPr/>
        <w:t>OUTRAS TRANSFERENCIAS DE CONVENIOS DA UNIAO E DE SUAS ENTIDADES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133"/>
      </w:pPr>
      <w:r>
        <w:rPr/>
        <w:t>OUTRAS TRANSFERENCIAS DE RECURSOS DA UNIAO E DE SUAS ENTIDADES</w:t>
      </w:r>
      <w:r>
        <w:rPr>
          <w:spacing w:val="-32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ESPECIAL DA</w:t>
      </w:r>
      <w:r>
        <w:rPr>
          <w:spacing w:val="-1"/>
        </w:rPr>
        <w:t> </w:t>
      </w:r>
      <w:r>
        <w:rPr/>
        <w:t>UNIAO</w:t>
      </w:r>
    </w:p>
    <w:p>
      <w:pPr>
        <w:pStyle w:val="BodyText"/>
        <w:spacing w:before="1"/>
        <w:ind w:left="100"/>
      </w:pPr>
      <w:r>
        <w:rPr/>
        <w:t>TRANSFERENCIA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PRINCIPAL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OUTRAS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60"/>
      </w:pPr>
      <w:r>
        <w:rPr/>
        <w:t>OUTRAS TRANSFERENCIAS DE RECURSOS DA UNIAO E DE SUAS ENTIDADES -</w:t>
      </w:r>
      <w:r>
        <w:rPr>
          <w:spacing w:val="-31"/>
        </w:rPr>
        <w:t> </w:t>
      </w:r>
      <w:r>
        <w:rPr/>
        <w:t>PRINCIPAL</w:t>
      </w:r>
    </w:p>
    <w:p>
      <w:pPr>
        <w:pStyle w:val="BodyText"/>
        <w:tabs>
          <w:tab w:pos="2367" w:val="left" w:leader="none"/>
          <w:tab w:pos="3279" w:val="left" w:leader="none"/>
        </w:tabs>
        <w:spacing w:before="96"/>
        <w:ind w:right="38"/>
        <w:jc w:val="right"/>
      </w:pPr>
      <w:r>
        <w:rPr/>
        <w:br w:type="column"/>
      </w:r>
      <w:r>
        <w:rPr/>
        <w:t>12.220.125,00</w:t>
        <w:tab/>
        <w:t>-</w:t>
        <w:tab/>
        <w:t>12.220.125,00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12.220.125,00</w:t>
        <w:tab/>
        <w:t>-</w:t>
        <w:tab/>
        <w:t>12.220.125,00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12.220.125,00</w:t>
        <w:tab/>
        <w:t>-</w:t>
        <w:tab/>
        <w:t>12.220.125,00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tabs>
          <w:tab w:pos="1519" w:val="left" w:leader="none"/>
          <w:tab w:pos="3139" w:val="left" w:leader="none"/>
        </w:tabs>
        <w:spacing w:before="96"/>
        <w:ind w:left="100"/>
      </w:pPr>
      <w:r>
        <w:rPr/>
        <w:br w:type="column"/>
      </w: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spacing w:after="0"/>
        <w:sectPr>
          <w:type w:val="continuous"/>
          <w:pgSz w:w="16840" w:h="11900" w:orient="landscape"/>
          <w:pgMar w:top="2160" w:bottom="280" w:left="820" w:right="540"/>
          <w:cols w:num="4" w:equalWidth="0">
            <w:col w:w="841" w:space="139"/>
            <w:col w:w="4801" w:space="951"/>
            <w:col w:w="4188" w:space="1260"/>
            <w:col w:w="330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2160" w:bottom="280" w:left="820" w:right="540"/>
        </w:sectPr>
      </w:pPr>
    </w:p>
    <w:p>
      <w:pPr>
        <w:pStyle w:val="BodyText"/>
        <w:tabs>
          <w:tab w:pos="6832" w:val="left" w:leader="none"/>
          <w:tab w:pos="9199" w:val="left" w:leader="none"/>
          <w:tab w:pos="10092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13.309.050,00</w:t>
        <w:tab/>
        <w:t>-</w:t>
        <w:tab/>
      </w:r>
      <w:r>
        <w:rPr>
          <w:spacing w:val="-1"/>
        </w:rPr>
        <w:t>13.309.050,00</w:t>
      </w:r>
    </w:p>
    <w:p>
      <w:pPr>
        <w:pStyle w:val="BodyText"/>
        <w:tabs>
          <w:tab w:pos="2285" w:val="left" w:leader="none"/>
        </w:tabs>
        <w:spacing w:before="106"/>
        <w:ind w:left="932"/>
      </w:pPr>
      <w:r>
        <w:rPr/>
        <w:br w:type="column"/>
      </w:r>
      <w:r>
        <w:rPr/>
        <w:t>2.193,19</w:t>
        <w:tab/>
      </w:r>
      <w:r>
        <w:rPr>
          <w:spacing w:val="-1"/>
        </w:rPr>
        <w:t>32.251,34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396.843,22</w:t>
      </w:r>
    </w:p>
    <w:sectPr>
      <w:type w:val="continuous"/>
      <w:pgSz w:w="16840" w:h="11900" w:orient="landscape"/>
      <w:pgMar w:top="216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pt;margin-top:57pt;width:770pt;height:51pt;mso-position-horizontal-relative:page;mso-position-vertical-relative:page;z-index:-15946752" filled="false" stroked="true" strokeweight="1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pt;margin-top:59.24836pt;width:138.7pt;height:27.7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line="312" w:lineRule="auto" w:before="16"/>
                  <w:ind w:left="20" w:right="422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GOVERNO DO ESTADO DE SERGIPE</w:t>
                </w:r>
                <w:r>
                  <w:rPr>
                    <w:rFonts w:ascii="Arial"/>
                    <w:b/>
                    <w:spacing w:val="1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SECRETARIA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ESTADO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FAZENDA</w:t>
                </w:r>
              </w:p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SUPERINTENDÊNCIA DE FINANÇAS PÚBLICAS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989990pt;margin-top:61.798359pt;width:202.05pt;height:15.6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1440" w:right="1" w:hanging="1421"/>
                </w:pPr>
                <w:r>
                  <w:rPr/>
                  <w:t>DEMONSTRATIVO DA EXECUÇÃO DA RECEITA ORÇAMENTÁRIA POR</w:t>
                </w:r>
                <w:r>
                  <w:rPr>
                    <w:spacing w:val="-31"/>
                  </w:rPr>
                  <w:t> </w:t>
                </w:r>
                <w:r>
                  <w:rPr/>
                  <w:t>UNIDADE GESTORA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60.320007pt;margin-top:98.24836pt;width:135.4pt;height:8.7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PERIODO DE REFERÊNCIA: SETEMBRO /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2023-11-20T14:04:29Z</dcterms:created>
  <dcterms:modified xsi:type="dcterms:W3CDTF">2023-11-20T14:04:29Z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2023-11-20T00:00:00Z</vt:filetime>
  </property>
</Properties>
</file>